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76A" w:rsidRPr="004D176A" w:rsidRDefault="004D176A" w:rsidP="004D176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主机为四立柱、两丝杠、油缸下置式，拉伸空间位于主机的上方，压缩、弯曲试验空间位于主机下横梁和工作台之间。测控系统采用全数字多通道闭环测控系统，具有三闭环功能，即可以进行应力、应变、位移闭环等控制方式，并可以进行无冲击切换，其应力速度和应变速率完全符合国标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GB/T228.1-2010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等其它金属拉伸试验标准要求。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 </w:t>
      </w:r>
    </w:p>
    <w:p w:rsidR="004D176A" w:rsidRPr="004D176A" w:rsidRDefault="004D176A" w:rsidP="004D176A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4D176A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4D176A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4D176A" w:rsidRPr="004D176A" w:rsidRDefault="004D176A" w:rsidP="004D176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D176A">
        <w:rPr>
          <w:rFonts w:ascii="&amp;quot" w:eastAsia="宋体" w:hAnsi="&amp;quot" w:cs="Arial"/>
          <w:b/>
          <w:bCs/>
          <w:color w:val="444444"/>
          <w:kern w:val="0"/>
          <w:sz w:val="18"/>
        </w:rPr>
        <w:t>产品介绍：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主机为四立柱、两丝杠、油缸下置式，拉伸空间位于主机的上方，压缩、弯曲试验空间位于主机下横梁和工作台之间。测控系统采用全数字多通道闭环测控系统，具有三闭环功能，即可以进行应力、应变、位移闭环等控制方式，并可以进行无冲击切换，其应力速度和应变速率完全符合国标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GB/T228.1-2010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等其它金属拉伸试验标准要求。</w:t>
      </w:r>
    </w:p>
    <w:p w:rsidR="004D176A" w:rsidRPr="004D176A" w:rsidRDefault="004D176A" w:rsidP="004D176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4D176A">
        <w:rPr>
          <w:rFonts w:ascii="&amp;quot" w:eastAsia="宋体" w:hAnsi="&amp;quot" w:cs="Arial"/>
          <w:b/>
          <w:bCs/>
          <w:color w:val="444444"/>
          <w:kern w:val="0"/>
          <w:sz w:val="18"/>
        </w:rPr>
        <w:t>技术参数</w:t>
      </w:r>
      <w:r w:rsidRPr="004D176A">
        <w:rPr>
          <w:rFonts w:ascii="&amp;quot" w:eastAsia="宋体" w:hAnsi="&amp;quot" w:cs="Arial"/>
          <w:b/>
          <w:bCs/>
          <w:color w:val="444444"/>
          <w:kern w:val="0"/>
          <w:sz w:val="18"/>
        </w:rPr>
        <w:t>: 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最大试验力（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kN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）：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 xml:space="preserve"> 1000 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2.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试验力测量范围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:2%-100%  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全程不分档，等效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4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档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3.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试验力示值相对误差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＜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 xml:space="preserve">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示值的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±1%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4.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试验力分辨力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最大载荷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1/300000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5.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变形示值相对误差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＜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 xml:space="preserve">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示值的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±1%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6.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变形分辨力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最大变形量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1/300000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7.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最大拉伸试验空间（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:750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8.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压缩空间（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:500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9.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活塞行程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(mm):150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10.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立柱间距（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:580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11.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圆试样夹持范围（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:Φ6-Φ40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12.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扁试样夹持厚度（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:0-30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13.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扁试样最大夹持宽度（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:75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14.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压盘尺寸（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:200*200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15.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弯曲支点两点间最大距离（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:300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16.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弯曲支滚宽度（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:140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17.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夹紧方式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液压夹紧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18.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主机外形尺寸（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:920*820*2200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19. 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油源控制台尺寸（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:1100*750*1000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20.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电机总功率（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kW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:2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21.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总重量（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kg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4D176A">
        <w:rPr>
          <w:rFonts w:ascii="&amp;quot" w:eastAsia="宋体" w:hAnsi="&amp;quot" w:cs="Arial"/>
          <w:color w:val="444444"/>
          <w:kern w:val="0"/>
          <w:sz w:val="18"/>
          <w:szCs w:val="18"/>
        </w:rPr>
        <w:t>:3300</w:t>
      </w:r>
    </w:p>
    <w:p w:rsidR="00DC21E4" w:rsidRDefault="00DC21E4"/>
    <w:sectPr w:rsidR="00DC21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1E4" w:rsidRDefault="00DC21E4" w:rsidP="004D176A">
      <w:r>
        <w:separator/>
      </w:r>
    </w:p>
  </w:endnote>
  <w:endnote w:type="continuationSeparator" w:id="1">
    <w:p w:rsidR="00DC21E4" w:rsidRDefault="00DC21E4" w:rsidP="004D17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1E4" w:rsidRDefault="00DC21E4" w:rsidP="004D176A">
      <w:r>
        <w:separator/>
      </w:r>
    </w:p>
  </w:footnote>
  <w:footnote w:type="continuationSeparator" w:id="1">
    <w:p w:rsidR="00DC21E4" w:rsidRDefault="00DC21E4" w:rsidP="004D17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176A"/>
    <w:rsid w:val="004D176A"/>
    <w:rsid w:val="00DC2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D176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1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17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17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176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D176A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4D17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D17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0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1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74074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83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2021-10-28T01:38:00Z</dcterms:created>
  <dcterms:modified xsi:type="dcterms:W3CDTF">2021-10-28T01:38:00Z</dcterms:modified>
</cp:coreProperties>
</file>